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5A5" w:rsidRPr="00630427" w:rsidRDefault="00D335A5" w:rsidP="00D335A5">
      <w:pPr>
        <w:spacing w:after="0" w:line="240" w:lineRule="auto"/>
        <w:rPr>
          <w:rFonts w:ascii="Times New Roman" w:eastAsia="Times New Roman" w:hAnsi="Times New Roman" w:cs="Times New Roman"/>
          <w:b/>
          <w:color w:val="C00000"/>
          <w:sz w:val="24"/>
          <w:szCs w:val="24"/>
        </w:rPr>
      </w:pPr>
      <w:r w:rsidRPr="00630427">
        <w:rPr>
          <w:rFonts w:ascii="Times New Roman" w:eastAsia="Times New Roman" w:hAnsi="Times New Roman" w:cs="Times New Roman"/>
          <w:b/>
          <w:color w:val="C00000"/>
          <w:sz w:val="24"/>
          <w:szCs w:val="24"/>
        </w:rPr>
        <w:t>COST OF LIVING</w:t>
      </w:r>
    </w:p>
    <w:p w:rsidR="00D335A5" w:rsidRPr="00D335A5" w:rsidRDefault="00D335A5" w:rsidP="00D335A5">
      <w:pPr>
        <w:spacing w:after="0" w:line="240" w:lineRule="auto"/>
        <w:rPr>
          <w:rFonts w:ascii="Times New Roman" w:eastAsia="Times New Roman" w:hAnsi="Times New Roman" w:cs="Times New Roman"/>
          <w:sz w:val="24"/>
          <w:szCs w:val="24"/>
        </w:rPr>
      </w:pPr>
    </w:p>
    <w:tbl>
      <w:tblPr>
        <w:tblStyle w:val="MediumShading1-Accent21"/>
        <w:tblpPr w:leftFromText="180" w:rightFromText="180" w:vertAnchor="text" w:tblpY="1"/>
        <w:tblOverlap w:val="never"/>
        <w:tblW w:w="2050" w:type="pct"/>
        <w:tblLook w:val="04A0" w:firstRow="1" w:lastRow="0" w:firstColumn="1" w:lastColumn="0" w:noHBand="0" w:noVBand="1"/>
      </w:tblPr>
      <w:tblGrid>
        <w:gridCol w:w="4226"/>
        <w:gridCol w:w="1979"/>
        <w:gridCol w:w="1592"/>
        <w:gridCol w:w="1529"/>
        <w:gridCol w:w="2186"/>
      </w:tblGrid>
      <w:tr w:rsidR="00630427" w:rsidRPr="00D335A5" w:rsidTr="00630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hideMark/>
          </w:tcPr>
          <w:p w:rsidR="00D335A5" w:rsidRPr="00D335A5" w:rsidRDefault="00D335A5" w:rsidP="00630427">
            <w:pPr>
              <w:spacing w:line="480" w:lineRule="auto"/>
              <w:ind w:right="3853"/>
              <w:rPr>
                <w:rFonts w:ascii="Times New Roman" w:eastAsia="Times New Roman" w:hAnsi="Times New Roman" w:cs="Times New Roman"/>
                <w:sz w:val="24"/>
                <w:szCs w:val="24"/>
              </w:rPr>
            </w:pPr>
            <w:r w:rsidRPr="00D335A5">
              <w:rPr>
                <w:rFonts w:ascii="Times New Roman" w:eastAsia="Times New Roman" w:hAnsi="Times New Roman" w:cs="Times New Roman"/>
                <w:sz w:val="24"/>
                <w:szCs w:val="24"/>
              </w:rPr>
              <w:t> </w:t>
            </w:r>
          </w:p>
        </w:tc>
        <w:tc>
          <w:tcPr>
            <w:tcW w:w="860" w:type="pct"/>
            <w:hideMark/>
          </w:tcPr>
          <w:p w:rsidR="00D335A5" w:rsidRPr="00D335A5" w:rsidRDefault="00D335A5" w:rsidP="00630427">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335A5">
              <w:rPr>
                <w:rFonts w:ascii="Times New Roman" w:eastAsia="Times New Roman" w:hAnsi="Times New Roman" w:cs="Times New Roman"/>
                <w:sz w:val="24"/>
                <w:szCs w:val="24"/>
              </w:rPr>
              <w:t>Racine, WI</w:t>
            </w:r>
          </w:p>
        </w:tc>
        <w:tc>
          <w:tcPr>
            <w:tcW w:w="691" w:type="pct"/>
            <w:hideMark/>
          </w:tcPr>
          <w:p w:rsidR="00D335A5" w:rsidRPr="00D335A5" w:rsidRDefault="00D335A5" w:rsidP="00630427">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335A5">
              <w:rPr>
                <w:rFonts w:ascii="Times New Roman" w:eastAsia="Times New Roman" w:hAnsi="Times New Roman" w:cs="Times New Roman"/>
                <w:sz w:val="24"/>
                <w:szCs w:val="24"/>
              </w:rPr>
              <w:t>Chicago</w:t>
            </w:r>
          </w:p>
        </w:tc>
        <w:tc>
          <w:tcPr>
            <w:tcW w:w="664" w:type="pct"/>
          </w:tcPr>
          <w:p w:rsidR="00D335A5" w:rsidRPr="00D335A5" w:rsidRDefault="00D335A5" w:rsidP="00630427">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335A5">
              <w:rPr>
                <w:rFonts w:ascii="Times New Roman" w:eastAsia="Times New Roman" w:hAnsi="Times New Roman" w:cs="Times New Roman"/>
                <w:sz w:val="24"/>
                <w:szCs w:val="24"/>
              </w:rPr>
              <w:t>Milwaukee</w:t>
            </w:r>
          </w:p>
        </w:tc>
        <w:tc>
          <w:tcPr>
            <w:tcW w:w="949" w:type="pct"/>
            <w:hideMark/>
          </w:tcPr>
          <w:p w:rsidR="00D335A5" w:rsidRPr="00D335A5" w:rsidRDefault="00D335A5" w:rsidP="00630427">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335A5">
              <w:rPr>
                <w:rFonts w:ascii="Times New Roman" w:eastAsia="Times New Roman" w:hAnsi="Times New Roman" w:cs="Times New Roman"/>
                <w:szCs w:val="24"/>
              </w:rPr>
              <w:t>United States</w:t>
            </w:r>
          </w:p>
        </w:tc>
      </w:tr>
      <w:tr w:rsidR="00D72A14" w:rsidRPr="00D335A5" w:rsidTr="00630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hideMark/>
          </w:tcPr>
          <w:p w:rsidR="00D335A5" w:rsidRPr="00D335A5" w:rsidRDefault="00D335A5" w:rsidP="00630427">
            <w:pPr>
              <w:spacing w:line="480" w:lineRule="auto"/>
              <w:ind w:right="3133"/>
              <w:rPr>
                <w:rFonts w:ascii="Times New Roman" w:eastAsia="Times New Roman" w:hAnsi="Times New Roman" w:cs="Times New Roman"/>
                <w:color w:val="C00000"/>
                <w:sz w:val="24"/>
                <w:szCs w:val="24"/>
              </w:rPr>
            </w:pPr>
            <w:r w:rsidRPr="00D335A5">
              <w:rPr>
                <w:rFonts w:ascii="Times New Roman" w:eastAsia="Times New Roman" w:hAnsi="Times New Roman" w:cs="Times New Roman"/>
                <w:color w:val="C00000"/>
                <w:sz w:val="24"/>
                <w:szCs w:val="24"/>
              </w:rPr>
              <w:t> </w:t>
            </w:r>
            <w:hyperlink r:id="rId4" w:tooltip="The total of all the cost of living categories weighted subjectively as follows: housing (30%), food and groceries (15%), transportation (10%), utilities (6%), health care (7%), and miscellaneous expenses such as clothing, services, and entertainment (32%).  S" w:history="1">
              <w:r w:rsidRPr="00D335A5">
                <w:rPr>
                  <w:rFonts w:ascii="Times New Roman" w:eastAsia="Times New Roman" w:hAnsi="Times New Roman" w:cs="Times New Roman"/>
                  <w:color w:val="C00000"/>
                  <w:sz w:val="24"/>
                  <w:szCs w:val="24"/>
                </w:rPr>
                <w:t>Overall</w:t>
              </w:r>
            </w:hyperlink>
          </w:p>
        </w:tc>
        <w:tc>
          <w:tcPr>
            <w:tcW w:w="860" w:type="pct"/>
            <w:hideMark/>
          </w:tcPr>
          <w:p w:rsidR="00D335A5" w:rsidRPr="00D335A5" w:rsidRDefault="00D335A5" w:rsidP="0063042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81</w:t>
            </w:r>
          </w:p>
        </w:tc>
        <w:tc>
          <w:tcPr>
            <w:tcW w:w="691" w:type="pct"/>
            <w:hideMark/>
          </w:tcPr>
          <w:p w:rsidR="00D335A5" w:rsidRPr="00D335A5" w:rsidRDefault="00D335A5" w:rsidP="0063042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111</w:t>
            </w:r>
          </w:p>
        </w:tc>
        <w:tc>
          <w:tcPr>
            <w:tcW w:w="664" w:type="pct"/>
          </w:tcPr>
          <w:p w:rsidR="00D335A5" w:rsidRPr="00D335A5" w:rsidRDefault="00D335A5" w:rsidP="0063042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84</w:t>
            </w:r>
          </w:p>
        </w:tc>
        <w:tc>
          <w:tcPr>
            <w:tcW w:w="949" w:type="pct"/>
            <w:hideMark/>
          </w:tcPr>
          <w:p w:rsidR="00D335A5" w:rsidRPr="00D335A5" w:rsidRDefault="00D335A5" w:rsidP="0063042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100</w:t>
            </w:r>
          </w:p>
        </w:tc>
      </w:tr>
      <w:tr w:rsidR="00630427" w:rsidRPr="00D335A5" w:rsidTr="006304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hideMark/>
          </w:tcPr>
          <w:p w:rsidR="00D335A5" w:rsidRPr="00D335A5" w:rsidRDefault="00D335A5" w:rsidP="00630427">
            <w:pPr>
              <w:spacing w:line="480" w:lineRule="auto"/>
              <w:rPr>
                <w:rFonts w:ascii="Times New Roman" w:eastAsia="Times New Roman" w:hAnsi="Times New Roman" w:cs="Times New Roman"/>
                <w:color w:val="C00000"/>
                <w:sz w:val="24"/>
                <w:szCs w:val="24"/>
              </w:rPr>
            </w:pPr>
            <w:r w:rsidRPr="00D335A5">
              <w:rPr>
                <w:rFonts w:ascii="Times New Roman" w:eastAsia="Times New Roman" w:hAnsi="Times New Roman" w:cs="Times New Roman"/>
                <w:color w:val="C00000"/>
                <w:sz w:val="24"/>
                <w:szCs w:val="24"/>
              </w:rPr>
              <w:t> </w:t>
            </w:r>
            <w:hyperlink r:id="rId5" w:tooltip="The average cost of food in Grocery stores in an area. Updated:12/16" w:history="1">
              <w:r w:rsidRPr="00D335A5">
                <w:rPr>
                  <w:rFonts w:ascii="Times New Roman" w:eastAsia="Times New Roman" w:hAnsi="Times New Roman" w:cs="Times New Roman"/>
                  <w:color w:val="C00000"/>
                  <w:sz w:val="24"/>
                  <w:szCs w:val="24"/>
                </w:rPr>
                <w:t>Grocery</w:t>
              </w:r>
            </w:hyperlink>
          </w:p>
        </w:tc>
        <w:tc>
          <w:tcPr>
            <w:tcW w:w="860" w:type="pct"/>
            <w:hideMark/>
          </w:tcPr>
          <w:p w:rsidR="00D335A5" w:rsidRPr="00D335A5" w:rsidRDefault="00D335A5" w:rsidP="0063042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93.9</w:t>
            </w:r>
          </w:p>
        </w:tc>
        <w:tc>
          <w:tcPr>
            <w:tcW w:w="691" w:type="pct"/>
            <w:hideMark/>
          </w:tcPr>
          <w:p w:rsidR="00D335A5" w:rsidRPr="00D335A5" w:rsidRDefault="00D335A5" w:rsidP="0063042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110.8</w:t>
            </w:r>
          </w:p>
        </w:tc>
        <w:tc>
          <w:tcPr>
            <w:tcW w:w="664" w:type="pct"/>
          </w:tcPr>
          <w:p w:rsidR="00D335A5" w:rsidRPr="00D335A5" w:rsidRDefault="00D335A5" w:rsidP="0063042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96.6</w:t>
            </w:r>
          </w:p>
        </w:tc>
        <w:tc>
          <w:tcPr>
            <w:tcW w:w="949" w:type="pct"/>
            <w:hideMark/>
          </w:tcPr>
          <w:p w:rsidR="00D335A5" w:rsidRPr="00D335A5" w:rsidRDefault="00D335A5" w:rsidP="0063042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100</w:t>
            </w:r>
          </w:p>
        </w:tc>
      </w:tr>
      <w:tr w:rsidR="00630427" w:rsidRPr="00D335A5" w:rsidTr="00630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hideMark/>
          </w:tcPr>
          <w:p w:rsidR="00D335A5" w:rsidRPr="00D335A5" w:rsidRDefault="00D335A5" w:rsidP="00630427">
            <w:pPr>
              <w:spacing w:line="480" w:lineRule="auto"/>
              <w:rPr>
                <w:rFonts w:ascii="Times New Roman" w:eastAsia="Times New Roman" w:hAnsi="Times New Roman" w:cs="Times New Roman"/>
                <w:color w:val="C00000"/>
                <w:sz w:val="24"/>
                <w:szCs w:val="24"/>
              </w:rPr>
            </w:pPr>
            <w:r w:rsidRPr="00D335A5">
              <w:rPr>
                <w:rFonts w:ascii="Times New Roman" w:eastAsia="Times New Roman" w:hAnsi="Times New Roman" w:cs="Times New Roman"/>
                <w:color w:val="C00000"/>
                <w:sz w:val="24"/>
                <w:szCs w:val="24"/>
              </w:rPr>
              <w:t> </w:t>
            </w:r>
            <w:hyperlink r:id="rId6" w:tooltip="The average cost of health care calculated using the standard daily rate for a hospital room, and the costs of a doctor's office visit and a dental checkup. Updated:12/16" w:history="1">
              <w:r w:rsidRPr="00D335A5">
                <w:rPr>
                  <w:rFonts w:ascii="Times New Roman" w:eastAsia="Times New Roman" w:hAnsi="Times New Roman" w:cs="Times New Roman"/>
                  <w:color w:val="C00000"/>
                  <w:sz w:val="24"/>
                  <w:szCs w:val="24"/>
                </w:rPr>
                <w:t>Health</w:t>
              </w:r>
            </w:hyperlink>
          </w:p>
        </w:tc>
        <w:tc>
          <w:tcPr>
            <w:tcW w:w="860" w:type="pct"/>
            <w:hideMark/>
          </w:tcPr>
          <w:p w:rsidR="00D335A5" w:rsidRPr="00D335A5" w:rsidRDefault="00D335A5" w:rsidP="0063042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105</w:t>
            </w:r>
          </w:p>
        </w:tc>
        <w:tc>
          <w:tcPr>
            <w:tcW w:w="691" w:type="pct"/>
            <w:hideMark/>
          </w:tcPr>
          <w:p w:rsidR="00D335A5" w:rsidRPr="00D335A5" w:rsidRDefault="00D335A5" w:rsidP="0063042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101</w:t>
            </w:r>
          </w:p>
        </w:tc>
        <w:tc>
          <w:tcPr>
            <w:tcW w:w="664" w:type="pct"/>
          </w:tcPr>
          <w:p w:rsidR="00D335A5" w:rsidRPr="00D335A5" w:rsidRDefault="00D335A5" w:rsidP="0063042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113</w:t>
            </w:r>
          </w:p>
        </w:tc>
        <w:tc>
          <w:tcPr>
            <w:tcW w:w="949" w:type="pct"/>
            <w:hideMark/>
          </w:tcPr>
          <w:p w:rsidR="00D335A5" w:rsidRPr="00D335A5" w:rsidRDefault="00D335A5" w:rsidP="0063042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100</w:t>
            </w:r>
          </w:p>
        </w:tc>
      </w:tr>
      <w:tr w:rsidR="00630427" w:rsidRPr="00D335A5" w:rsidTr="006304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hideMark/>
          </w:tcPr>
          <w:p w:rsidR="00D335A5" w:rsidRPr="00D335A5" w:rsidRDefault="00D335A5" w:rsidP="00630427">
            <w:pPr>
              <w:spacing w:line="480" w:lineRule="auto"/>
              <w:rPr>
                <w:rFonts w:ascii="Times New Roman" w:eastAsia="Times New Roman" w:hAnsi="Times New Roman" w:cs="Times New Roman"/>
                <w:color w:val="C00000"/>
                <w:sz w:val="24"/>
                <w:szCs w:val="24"/>
              </w:rPr>
            </w:pPr>
            <w:r w:rsidRPr="00D335A5">
              <w:rPr>
                <w:rFonts w:ascii="Times New Roman" w:eastAsia="Times New Roman" w:hAnsi="Times New Roman" w:cs="Times New Roman"/>
                <w:color w:val="C00000"/>
                <w:sz w:val="24"/>
                <w:szCs w:val="24"/>
              </w:rPr>
              <w:t> </w:t>
            </w:r>
            <w:hyperlink r:id="rId7" w:tooltip="The average cost of an area's housing, which includes mortgage payments, apartment rents, and property tax. Updated:12/16" w:history="1">
              <w:r w:rsidRPr="00D335A5">
                <w:rPr>
                  <w:rFonts w:ascii="Times New Roman" w:eastAsia="Times New Roman" w:hAnsi="Times New Roman" w:cs="Times New Roman"/>
                  <w:color w:val="C00000"/>
                  <w:sz w:val="24"/>
                  <w:szCs w:val="24"/>
                </w:rPr>
                <w:t>Housing</w:t>
              </w:r>
            </w:hyperlink>
          </w:p>
        </w:tc>
        <w:tc>
          <w:tcPr>
            <w:tcW w:w="860" w:type="pct"/>
            <w:hideMark/>
          </w:tcPr>
          <w:p w:rsidR="00D335A5" w:rsidRPr="00D335A5" w:rsidRDefault="00D335A5" w:rsidP="0063042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47</w:t>
            </w:r>
          </w:p>
        </w:tc>
        <w:tc>
          <w:tcPr>
            <w:tcW w:w="691" w:type="pct"/>
            <w:hideMark/>
          </w:tcPr>
          <w:p w:rsidR="00D335A5" w:rsidRPr="00D335A5" w:rsidRDefault="00D335A5" w:rsidP="0063042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112</w:t>
            </w:r>
          </w:p>
        </w:tc>
        <w:tc>
          <w:tcPr>
            <w:tcW w:w="664" w:type="pct"/>
          </w:tcPr>
          <w:p w:rsidR="00D335A5" w:rsidRPr="00D335A5" w:rsidRDefault="00D335A5" w:rsidP="0063042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52</w:t>
            </w:r>
          </w:p>
        </w:tc>
        <w:tc>
          <w:tcPr>
            <w:tcW w:w="949" w:type="pct"/>
            <w:hideMark/>
          </w:tcPr>
          <w:p w:rsidR="00D335A5" w:rsidRPr="00D335A5" w:rsidRDefault="00D335A5" w:rsidP="0063042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100</w:t>
            </w:r>
          </w:p>
        </w:tc>
      </w:tr>
      <w:tr w:rsidR="00630427" w:rsidRPr="00D335A5" w:rsidTr="00630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hideMark/>
          </w:tcPr>
          <w:p w:rsidR="00D335A5" w:rsidRPr="00D335A5" w:rsidRDefault="00D335A5" w:rsidP="00630427">
            <w:pPr>
              <w:spacing w:line="480" w:lineRule="auto"/>
              <w:rPr>
                <w:rFonts w:ascii="Times New Roman" w:eastAsia="Times New Roman" w:hAnsi="Times New Roman" w:cs="Times New Roman"/>
                <w:color w:val="C00000"/>
                <w:sz w:val="24"/>
                <w:szCs w:val="24"/>
              </w:rPr>
            </w:pPr>
            <w:r w:rsidRPr="00D335A5">
              <w:rPr>
                <w:rFonts w:ascii="Times New Roman" w:eastAsia="Times New Roman" w:hAnsi="Times New Roman" w:cs="Times New Roman"/>
                <w:color w:val="C00000"/>
                <w:sz w:val="24"/>
                <w:szCs w:val="24"/>
              </w:rPr>
              <w:t> </w:t>
            </w:r>
            <w:hyperlink r:id="rId8" w:tooltip="The average cost of heating or cooling a typical residence for the area, including electricity and natural gas. Updated:12/16" w:history="1">
              <w:r w:rsidRPr="00D335A5">
                <w:rPr>
                  <w:rFonts w:ascii="Times New Roman" w:eastAsia="Times New Roman" w:hAnsi="Times New Roman" w:cs="Times New Roman"/>
                  <w:color w:val="C00000"/>
                  <w:sz w:val="24"/>
                  <w:szCs w:val="24"/>
                </w:rPr>
                <w:t>Utilities</w:t>
              </w:r>
            </w:hyperlink>
          </w:p>
        </w:tc>
        <w:tc>
          <w:tcPr>
            <w:tcW w:w="860" w:type="pct"/>
            <w:hideMark/>
          </w:tcPr>
          <w:p w:rsidR="00D335A5" w:rsidRPr="00D335A5" w:rsidRDefault="00D335A5" w:rsidP="0063042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99</w:t>
            </w:r>
          </w:p>
        </w:tc>
        <w:tc>
          <w:tcPr>
            <w:tcW w:w="691" w:type="pct"/>
            <w:hideMark/>
          </w:tcPr>
          <w:p w:rsidR="00D335A5" w:rsidRPr="00D335A5" w:rsidRDefault="00D335A5" w:rsidP="0063042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105</w:t>
            </w:r>
          </w:p>
        </w:tc>
        <w:tc>
          <w:tcPr>
            <w:tcW w:w="664" w:type="pct"/>
          </w:tcPr>
          <w:p w:rsidR="00D335A5" w:rsidRPr="00D335A5" w:rsidRDefault="00D335A5" w:rsidP="0063042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111</w:t>
            </w:r>
          </w:p>
        </w:tc>
        <w:tc>
          <w:tcPr>
            <w:tcW w:w="949" w:type="pct"/>
            <w:hideMark/>
          </w:tcPr>
          <w:p w:rsidR="00D335A5" w:rsidRPr="00D335A5" w:rsidRDefault="00D335A5" w:rsidP="0063042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100</w:t>
            </w:r>
          </w:p>
        </w:tc>
      </w:tr>
      <w:tr w:rsidR="00630427" w:rsidRPr="00D335A5" w:rsidTr="006304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hideMark/>
          </w:tcPr>
          <w:p w:rsidR="00D335A5" w:rsidRPr="00D335A5" w:rsidRDefault="00D335A5" w:rsidP="00630427">
            <w:pPr>
              <w:spacing w:line="480" w:lineRule="auto"/>
              <w:rPr>
                <w:rFonts w:ascii="Times New Roman" w:eastAsia="Times New Roman" w:hAnsi="Times New Roman" w:cs="Times New Roman"/>
                <w:color w:val="C00000"/>
                <w:sz w:val="24"/>
                <w:szCs w:val="24"/>
              </w:rPr>
            </w:pPr>
            <w:r w:rsidRPr="00D335A5">
              <w:rPr>
                <w:rFonts w:ascii="Times New Roman" w:eastAsia="Times New Roman" w:hAnsi="Times New Roman" w:cs="Times New Roman"/>
                <w:color w:val="C00000"/>
                <w:sz w:val="24"/>
                <w:szCs w:val="24"/>
              </w:rPr>
              <w:t> </w:t>
            </w:r>
            <w:hyperlink r:id="rId9" w:tooltip="The average cost of gasoline, car insurance and maintenance expenses, and mass transit fare for the area.  The cost of the vehicle and any vehicle registration and license taxes are not included. Updated:12/16" w:history="1">
              <w:r w:rsidRPr="00D335A5">
                <w:rPr>
                  <w:rFonts w:ascii="Times New Roman" w:eastAsia="Times New Roman" w:hAnsi="Times New Roman" w:cs="Times New Roman"/>
                  <w:color w:val="C00000"/>
                  <w:sz w:val="24"/>
                  <w:szCs w:val="24"/>
                </w:rPr>
                <w:t>Transportation</w:t>
              </w:r>
            </w:hyperlink>
          </w:p>
        </w:tc>
        <w:tc>
          <w:tcPr>
            <w:tcW w:w="860" w:type="pct"/>
            <w:hideMark/>
          </w:tcPr>
          <w:p w:rsidR="00D335A5" w:rsidRPr="00D335A5" w:rsidRDefault="00D335A5" w:rsidP="0063042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99</w:t>
            </w:r>
          </w:p>
        </w:tc>
        <w:tc>
          <w:tcPr>
            <w:tcW w:w="691" w:type="pct"/>
            <w:hideMark/>
          </w:tcPr>
          <w:p w:rsidR="00D335A5" w:rsidRPr="00D335A5" w:rsidRDefault="00D335A5" w:rsidP="0063042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122</w:t>
            </w:r>
          </w:p>
        </w:tc>
        <w:tc>
          <w:tcPr>
            <w:tcW w:w="664" w:type="pct"/>
          </w:tcPr>
          <w:p w:rsidR="00D335A5" w:rsidRPr="00D335A5" w:rsidRDefault="00D335A5" w:rsidP="0063042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97</w:t>
            </w:r>
          </w:p>
        </w:tc>
        <w:tc>
          <w:tcPr>
            <w:tcW w:w="949" w:type="pct"/>
            <w:hideMark/>
          </w:tcPr>
          <w:p w:rsidR="00D335A5" w:rsidRPr="00D335A5" w:rsidRDefault="00D335A5" w:rsidP="0063042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100</w:t>
            </w:r>
          </w:p>
        </w:tc>
      </w:tr>
      <w:tr w:rsidR="00630427" w:rsidRPr="00D335A5" w:rsidTr="00630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hideMark/>
          </w:tcPr>
          <w:p w:rsidR="00D335A5" w:rsidRPr="00D335A5" w:rsidRDefault="00D335A5" w:rsidP="00630427">
            <w:pPr>
              <w:spacing w:line="480" w:lineRule="auto"/>
              <w:rPr>
                <w:rFonts w:ascii="Times New Roman" w:eastAsia="Times New Roman" w:hAnsi="Times New Roman" w:cs="Times New Roman"/>
                <w:color w:val="C00000"/>
                <w:sz w:val="24"/>
                <w:szCs w:val="24"/>
              </w:rPr>
            </w:pPr>
            <w:r w:rsidRPr="00D335A5">
              <w:rPr>
                <w:rFonts w:ascii="Times New Roman" w:eastAsia="Times New Roman" w:hAnsi="Times New Roman" w:cs="Times New Roman"/>
                <w:color w:val="C00000"/>
                <w:sz w:val="24"/>
                <w:szCs w:val="24"/>
              </w:rPr>
              <w:t> </w:t>
            </w:r>
            <w:hyperlink r:id="rId10" w:tooltip="The cost index of those goods and services not included in the other cost of living categories, including clothing, restaurants, repairs, entertainment, and other services. Updated:12/16" w:history="1">
              <w:r w:rsidRPr="00D335A5">
                <w:rPr>
                  <w:rFonts w:ascii="Times New Roman" w:eastAsia="Times New Roman" w:hAnsi="Times New Roman" w:cs="Times New Roman"/>
                  <w:color w:val="C00000"/>
                  <w:sz w:val="24"/>
                  <w:szCs w:val="24"/>
                </w:rPr>
                <w:t>Miscellaneous</w:t>
              </w:r>
            </w:hyperlink>
          </w:p>
        </w:tc>
        <w:tc>
          <w:tcPr>
            <w:tcW w:w="860" w:type="pct"/>
            <w:hideMark/>
          </w:tcPr>
          <w:p w:rsidR="00D335A5" w:rsidRPr="00D335A5" w:rsidRDefault="00D335A5" w:rsidP="0063042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96</w:t>
            </w:r>
          </w:p>
        </w:tc>
        <w:tc>
          <w:tcPr>
            <w:tcW w:w="691" w:type="pct"/>
            <w:hideMark/>
          </w:tcPr>
          <w:p w:rsidR="00D335A5" w:rsidRPr="00D335A5" w:rsidRDefault="00D335A5" w:rsidP="0063042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106</w:t>
            </w:r>
          </w:p>
        </w:tc>
        <w:tc>
          <w:tcPr>
            <w:tcW w:w="664" w:type="pct"/>
          </w:tcPr>
          <w:p w:rsidR="00D335A5" w:rsidRPr="00D335A5" w:rsidRDefault="00D335A5" w:rsidP="0063042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96</w:t>
            </w:r>
          </w:p>
        </w:tc>
        <w:tc>
          <w:tcPr>
            <w:tcW w:w="949" w:type="pct"/>
            <w:hideMark/>
          </w:tcPr>
          <w:p w:rsidR="00D335A5" w:rsidRPr="00D335A5" w:rsidRDefault="00D335A5" w:rsidP="0063042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100</w:t>
            </w:r>
          </w:p>
        </w:tc>
      </w:tr>
    </w:tbl>
    <w:p w:rsidR="00D335A5" w:rsidRPr="00D335A5" w:rsidRDefault="00630427" w:rsidP="00D335A5">
      <w:pPr>
        <w:spacing w:after="200" w:line="276" w:lineRule="auto"/>
        <w:rPr>
          <w:rFonts w:ascii="Calibri" w:eastAsia="Calibri" w:hAnsi="Calibri" w:cs="Times New Roman"/>
          <w:b/>
          <w:i/>
        </w:rPr>
      </w:pPr>
      <w:r>
        <w:rPr>
          <w:rFonts w:ascii="Calibri" w:eastAsia="Calibri" w:hAnsi="Calibri" w:cs="Times New Roman"/>
          <w:b/>
          <w:i/>
        </w:rPr>
        <w:br w:type="textWrapping" w:clear="all"/>
      </w:r>
      <w:r w:rsidR="00D335A5" w:rsidRPr="00D335A5">
        <w:rPr>
          <w:rFonts w:ascii="Calibri" w:eastAsia="Calibri" w:hAnsi="Calibri" w:cs="Times New Roman"/>
          <w:b/>
          <w:i/>
        </w:rPr>
        <w:t>Source:  Sperling's Best Places, 2016</w:t>
      </w:r>
    </w:p>
    <w:p w:rsidR="00D335A5" w:rsidRPr="00D335A5" w:rsidRDefault="00D335A5" w:rsidP="00D335A5">
      <w:pPr>
        <w:spacing w:after="200" w:line="276" w:lineRule="auto"/>
        <w:rPr>
          <w:rFonts w:ascii="Calibri" w:eastAsia="Calibri" w:hAnsi="Calibri" w:cs="Times New Roman"/>
        </w:rPr>
      </w:pPr>
    </w:p>
    <w:p w:rsidR="00D72A14" w:rsidRPr="00630427" w:rsidRDefault="00D72A14" w:rsidP="00D72A14">
      <w:pPr>
        <w:tabs>
          <w:tab w:val="left" w:pos="6750"/>
        </w:tabs>
        <w:spacing w:after="0" w:line="480" w:lineRule="auto"/>
        <w:rPr>
          <w:rFonts w:ascii="Times New Roman" w:eastAsia="Times New Roman" w:hAnsi="Times New Roman" w:cs="Times New Roman"/>
          <w:b/>
          <w:color w:val="385623" w:themeColor="accent6" w:themeShade="80"/>
          <w:sz w:val="24"/>
          <w:szCs w:val="24"/>
        </w:rPr>
      </w:pPr>
      <w:r w:rsidRPr="00630427">
        <w:rPr>
          <w:rFonts w:ascii="Times New Roman" w:eastAsia="Times New Roman" w:hAnsi="Times New Roman" w:cs="Times New Roman"/>
          <w:b/>
          <w:color w:val="385623" w:themeColor="accent6" w:themeShade="80"/>
          <w:sz w:val="24"/>
          <w:szCs w:val="24"/>
        </w:rPr>
        <w:t>HOUSING</w:t>
      </w:r>
      <w:r w:rsidR="00630427">
        <w:rPr>
          <w:rFonts w:ascii="Times New Roman" w:eastAsia="Times New Roman" w:hAnsi="Times New Roman" w:cs="Times New Roman"/>
          <w:b/>
          <w:color w:val="385623" w:themeColor="accent6" w:themeShade="80"/>
          <w:sz w:val="24"/>
          <w:szCs w:val="24"/>
        </w:rPr>
        <w:t xml:space="preserve"> </w:t>
      </w:r>
      <w:bookmarkStart w:id="0" w:name="_GoBack"/>
      <w:bookmarkEnd w:id="0"/>
    </w:p>
    <w:p w:rsidR="00D335A5" w:rsidRPr="00D335A5" w:rsidRDefault="00D72A14" w:rsidP="00D72A14">
      <w:pPr>
        <w:tabs>
          <w:tab w:val="left" w:pos="675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housing units = </w:t>
      </w:r>
      <w:r w:rsidR="00D335A5" w:rsidRPr="00D335A5">
        <w:rPr>
          <w:rFonts w:ascii="Times New Roman" w:eastAsia="Times New Roman" w:hAnsi="Times New Roman" w:cs="Times New Roman"/>
          <w:sz w:val="24"/>
          <w:szCs w:val="24"/>
        </w:rPr>
        <w:t>33,874</w:t>
      </w:r>
    </w:p>
    <w:tbl>
      <w:tblPr>
        <w:tblStyle w:val="MediumShading1-Accent31"/>
        <w:tblW w:w="2091" w:type="pct"/>
        <w:tblLook w:val="04A0" w:firstRow="1" w:lastRow="0" w:firstColumn="1" w:lastColumn="0" w:noHBand="0" w:noVBand="1"/>
      </w:tblPr>
      <w:tblGrid>
        <w:gridCol w:w="4217"/>
        <w:gridCol w:w="1985"/>
        <w:gridCol w:w="1595"/>
        <w:gridCol w:w="2095"/>
        <w:gridCol w:w="1851"/>
      </w:tblGrid>
      <w:tr w:rsidR="00D72A14" w:rsidRPr="00D335A5" w:rsidTr="00D72A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rsidR="00D335A5" w:rsidRPr="00D335A5" w:rsidRDefault="00D335A5" w:rsidP="00D335A5">
            <w:pPr>
              <w:spacing w:after="200" w:line="480" w:lineRule="auto"/>
              <w:rPr>
                <w:rFonts w:ascii="Times New Roman" w:eastAsia="Times New Roman" w:hAnsi="Times New Roman" w:cs="Times New Roman"/>
                <w:sz w:val="24"/>
                <w:szCs w:val="24"/>
              </w:rPr>
            </w:pPr>
          </w:p>
        </w:tc>
        <w:tc>
          <w:tcPr>
            <w:tcW w:w="845" w:type="pct"/>
          </w:tcPr>
          <w:p w:rsidR="00D335A5" w:rsidRPr="00D335A5" w:rsidRDefault="00D335A5" w:rsidP="00D335A5">
            <w:pPr>
              <w:spacing w:after="200"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335A5">
              <w:rPr>
                <w:rFonts w:ascii="Times New Roman" w:eastAsia="Times New Roman" w:hAnsi="Times New Roman" w:cs="Times New Roman"/>
                <w:sz w:val="24"/>
                <w:szCs w:val="24"/>
              </w:rPr>
              <w:t>HOUSING</w:t>
            </w:r>
          </w:p>
        </w:tc>
        <w:tc>
          <w:tcPr>
            <w:tcW w:w="679" w:type="pct"/>
          </w:tcPr>
          <w:p w:rsidR="00D335A5" w:rsidRPr="00D335A5" w:rsidRDefault="00D335A5" w:rsidP="00D335A5">
            <w:pPr>
              <w:spacing w:after="200"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892" w:type="pct"/>
          </w:tcPr>
          <w:p w:rsidR="00D335A5" w:rsidRPr="00D335A5" w:rsidRDefault="00D335A5" w:rsidP="00D335A5">
            <w:pPr>
              <w:spacing w:after="200"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788" w:type="pct"/>
          </w:tcPr>
          <w:p w:rsidR="00D335A5" w:rsidRPr="00D335A5" w:rsidRDefault="00D335A5" w:rsidP="00D335A5">
            <w:pPr>
              <w:spacing w:after="200"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630427" w:rsidRPr="00D335A5" w:rsidTr="00630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shd w:val="clear" w:color="auto" w:fill="538135" w:themeFill="accent6" w:themeFillShade="BF"/>
            <w:hideMark/>
          </w:tcPr>
          <w:p w:rsidR="00D335A5" w:rsidRPr="00D335A5" w:rsidRDefault="00D335A5" w:rsidP="00D335A5">
            <w:pPr>
              <w:spacing w:after="200" w:line="480" w:lineRule="auto"/>
              <w:rPr>
                <w:rFonts w:ascii="Times New Roman" w:eastAsia="Times New Roman" w:hAnsi="Times New Roman" w:cs="Times New Roman"/>
                <w:color w:val="FFFFFF"/>
                <w:sz w:val="24"/>
                <w:szCs w:val="24"/>
              </w:rPr>
            </w:pPr>
            <w:r w:rsidRPr="00D335A5">
              <w:rPr>
                <w:rFonts w:ascii="Times New Roman" w:eastAsia="Times New Roman" w:hAnsi="Times New Roman" w:cs="Times New Roman"/>
                <w:color w:val="FFFFFF"/>
                <w:sz w:val="24"/>
                <w:szCs w:val="24"/>
              </w:rPr>
              <w:t> </w:t>
            </w:r>
          </w:p>
        </w:tc>
        <w:tc>
          <w:tcPr>
            <w:tcW w:w="845" w:type="pct"/>
            <w:shd w:val="clear" w:color="auto" w:fill="538135" w:themeFill="accent6" w:themeFillShade="BF"/>
            <w:hideMark/>
          </w:tcPr>
          <w:p w:rsidR="00D335A5" w:rsidRPr="00630427"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4"/>
                <w:szCs w:val="24"/>
              </w:rPr>
            </w:pPr>
            <w:r w:rsidRPr="00630427">
              <w:rPr>
                <w:rFonts w:ascii="Times New Roman" w:eastAsia="Times New Roman" w:hAnsi="Times New Roman" w:cs="Times New Roman"/>
                <w:b/>
                <w:color w:val="FFFFFF" w:themeColor="background1"/>
                <w:sz w:val="24"/>
                <w:szCs w:val="24"/>
              </w:rPr>
              <w:t>Racine</w:t>
            </w:r>
          </w:p>
        </w:tc>
        <w:tc>
          <w:tcPr>
            <w:tcW w:w="679" w:type="pct"/>
            <w:shd w:val="clear" w:color="auto" w:fill="538135" w:themeFill="accent6" w:themeFillShade="BF"/>
          </w:tcPr>
          <w:p w:rsidR="00D335A5" w:rsidRPr="00630427"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4"/>
                <w:szCs w:val="24"/>
              </w:rPr>
            </w:pPr>
            <w:r w:rsidRPr="00630427">
              <w:rPr>
                <w:rFonts w:ascii="Times New Roman" w:eastAsia="Times New Roman" w:hAnsi="Times New Roman" w:cs="Times New Roman"/>
                <w:b/>
                <w:color w:val="FFFFFF" w:themeColor="background1"/>
                <w:sz w:val="24"/>
                <w:szCs w:val="24"/>
              </w:rPr>
              <w:t>Chicago</w:t>
            </w:r>
          </w:p>
        </w:tc>
        <w:tc>
          <w:tcPr>
            <w:tcW w:w="892" w:type="pct"/>
            <w:shd w:val="clear" w:color="auto" w:fill="538135" w:themeFill="accent6" w:themeFillShade="BF"/>
            <w:hideMark/>
          </w:tcPr>
          <w:p w:rsidR="00D335A5" w:rsidRPr="00630427"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4"/>
                <w:szCs w:val="24"/>
              </w:rPr>
            </w:pPr>
            <w:r w:rsidRPr="00630427">
              <w:rPr>
                <w:rFonts w:ascii="Times New Roman" w:eastAsia="Times New Roman" w:hAnsi="Times New Roman" w:cs="Times New Roman"/>
                <w:b/>
                <w:color w:val="FFFFFF" w:themeColor="background1"/>
                <w:sz w:val="24"/>
                <w:szCs w:val="24"/>
              </w:rPr>
              <w:t>Milwaukee</w:t>
            </w:r>
          </w:p>
        </w:tc>
        <w:tc>
          <w:tcPr>
            <w:tcW w:w="788" w:type="pct"/>
            <w:shd w:val="clear" w:color="auto" w:fill="538135" w:themeFill="accent6" w:themeFillShade="BF"/>
            <w:hideMark/>
          </w:tcPr>
          <w:p w:rsidR="00D335A5" w:rsidRPr="00630427"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4"/>
                <w:szCs w:val="24"/>
              </w:rPr>
            </w:pPr>
            <w:r w:rsidRPr="00630427">
              <w:rPr>
                <w:rFonts w:ascii="Times New Roman" w:eastAsia="Times New Roman" w:hAnsi="Times New Roman" w:cs="Times New Roman"/>
                <w:b/>
                <w:color w:val="FFFFFF" w:themeColor="background1"/>
                <w:sz w:val="24"/>
                <w:szCs w:val="24"/>
              </w:rPr>
              <w:t>United States</w:t>
            </w:r>
          </w:p>
        </w:tc>
      </w:tr>
      <w:tr w:rsidR="00D72A14" w:rsidRPr="00D335A5" w:rsidTr="00D72A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hideMark/>
          </w:tcPr>
          <w:p w:rsidR="00D335A5" w:rsidRPr="00D335A5" w:rsidRDefault="00D335A5" w:rsidP="00D335A5">
            <w:pPr>
              <w:spacing w:after="200" w:line="480" w:lineRule="auto"/>
              <w:rPr>
                <w:rFonts w:ascii="Times New Roman" w:eastAsia="Times New Roman" w:hAnsi="Times New Roman" w:cs="Times New Roman"/>
                <w:sz w:val="24"/>
                <w:szCs w:val="24"/>
              </w:rPr>
            </w:pPr>
            <w:r w:rsidRPr="00D335A5">
              <w:rPr>
                <w:rFonts w:ascii="Times New Roman" w:eastAsia="Times New Roman" w:hAnsi="Times New Roman" w:cs="Times New Roman"/>
                <w:sz w:val="24"/>
                <w:szCs w:val="24"/>
              </w:rPr>
              <w:t> </w:t>
            </w:r>
            <w:hyperlink r:id="rId11" w:tooltip="The average age of homes  in years. Updated:12/16" w:history="1">
              <w:r w:rsidRPr="00D335A5">
                <w:rPr>
                  <w:rFonts w:ascii="Times New Roman" w:eastAsia="Times New Roman" w:hAnsi="Times New Roman" w:cs="Times New Roman"/>
                  <w:sz w:val="24"/>
                  <w:szCs w:val="24"/>
                  <w:u w:val="single"/>
                </w:rPr>
                <w:t>Median Home Age</w:t>
              </w:r>
            </w:hyperlink>
          </w:p>
        </w:tc>
        <w:tc>
          <w:tcPr>
            <w:tcW w:w="845" w:type="pct"/>
            <w:hideMark/>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61</w:t>
            </w:r>
          </w:p>
        </w:tc>
        <w:tc>
          <w:tcPr>
            <w:tcW w:w="679" w:type="pct"/>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67</w:t>
            </w:r>
          </w:p>
        </w:tc>
        <w:tc>
          <w:tcPr>
            <w:tcW w:w="892" w:type="pct"/>
            <w:hideMark/>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62</w:t>
            </w:r>
          </w:p>
        </w:tc>
        <w:tc>
          <w:tcPr>
            <w:tcW w:w="788" w:type="pct"/>
            <w:hideMark/>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37</w:t>
            </w:r>
          </w:p>
        </w:tc>
      </w:tr>
      <w:tr w:rsidR="00D72A14" w:rsidRPr="00D335A5" w:rsidTr="00D72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hideMark/>
          </w:tcPr>
          <w:p w:rsidR="00D335A5" w:rsidRPr="00D335A5" w:rsidRDefault="00D335A5" w:rsidP="00D335A5">
            <w:pPr>
              <w:spacing w:after="200" w:line="480" w:lineRule="auto"/>
              <w:rPr>
                <w:rFonts w:ascii="Times New Roman" w:eastAsia="Times New Roman" w:hAnsi="Times New Roman" w:cs="Times New Roman"/>
                <w:sz w:val="24"/>
                <w:szCs w:val="24"/>
              </w:rPr>
            </w:pPr>
            <w:r w:rsidRPr="00D335A5">
              <w:rPr>
                <w:rFonts w:ascii="Times New Roman" w:eastAsia="Times New Roman" w:hAnsi="Times New Roman" w:cs="Times New Roman"/>
                <w:sz w:val="24"/>
                <w:szCs w:val="24"/>
              </w:rPr>
              <w:t> </w:t>
            </w:r>
            <w:hyperlink r:id="rId12" w:tooltip="This is the value of the years most recent home sales data.  Its important to note that this is not the average (or arithmetic mean). The median home price is the middle value when you arrange all the sales prices of homes from lowest to highest.  This is a be" w:history="1">
              <w:r w:rsidRPr="00D335A5">
                <w:rPr>
                  <w:rFonts w:ascii="Times New Roman" w:eastAsia="Times New Roman" w:hAnsi="Times New Roman" w:cs="Times New Roman"/>
                  <w:sz w:val="24"/>
                  <w:szCs w:val="24"/>
                  <w:u w:val="single"/>
                </w:rPr>
                <w:t>Median Home Cost</w:t>
              </w:r>
            </w:hyperlink>
          </w:p>
        </w:tc>
        <w:tc>
          <w:tcPr>
            <w:tcW w:w="845" w:type="pct"/>
            <w:hideMark/>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$86,800</w:t>
            </w:r>
          </w:p>
        </w:tc>
        <w:tc>
          <w:tcPr>
            <w:tcW w:w="679" w:type="pct"/>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$208,900</w:t>
            </w:r>
          </w:p>
        </w:tc>
        <w:tc>
          <w:tcPr>
            <w:tcW w:w="892" w:type="pct"/>
            <w:hideMark/>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$95,800</w:t>
            </w:r>
          </w:p>
        </w:tc>
        <w:tc>
          <w:tcPr>
            <w:tcW w:w="788" w:type="pct"/>
            <w:hideMark/>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$185,800</w:t>
            </w:r>
          </w:p>
        </w:tc>
      </w:tr>
      <w:tr w:rsidR="00D72A14" w:rsidRPr="00D335A5" w:rsidTr="00D72A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rsidR="00D335A5" w:rsidRPr="00D335A5" w:rsidRDefault="00D335A5" w:rsidP="00D335A5">
            <w:pPr>
              <w:spacing w:after="200" w:line="480" w:lineRule="auto"/>
              <w:rPr>
                <w:rFonts w:ascii="Times New Roman" w:eastAsia="Times New Roman" w:hAnsi="Times New Roman" w:cs="Times New Roman"/>
                <w:sz w:val="24"/>
                <w:szCs w:val="24"/>
              </w:rPr>
            </w:pPr>
            <w:r w:rsidRPr="00D335A5">
              <w:rPr>
                <w:rFonts w:ascii="Times New Roman" w:eastAsia="Times New Roman" w:hAnsi="Times New Roman" w:cs="Times New Roman"/>
                <w:sz w:val="24"/>
                <w:szCs w:val="24"/>
              </w:rPr>
              <w:t> </w:t>
            </w:r>
            <w:hyperlink r:id="rId13" w:tooltip="The property tax rate shown here is the rate per $1,000 of home value. If the tax rate is $14.00 and the home value is $250,000, the property tax would be $14.00 x ($250,000/1000), or $3500. This is the 'effective' tax rate. Updated:12/16" w:history="1">
              <w:r w:rsidRPr="00D335A5">
                <w:rPr>
                  <w:rFonts w:ascii="Times New Roman" w:eastAsia="Times New Roman" w:hAnsi="Times New Roman" w:cs="Times New Roman"/>
                  <w:sz w:val="24"/>
                  <w:szCs w:val="24"/>
                  <w:u w:val="single"/>
                </w:rPr>
                <w:t>Property Tax Rate</w:t>
              </w:r>
            </w:hyperlink>
          </w:p>
        </w:tc>
        <w:tc>
          <w:tcPr>
            <w:tcW w:w="845" w:type="pct"/>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$21.25</w:t>
            </w:r>
          </w:p>
        </w:tc>
        <w:tc>
          <w:tcPr>
            <w:tcW w:w="679" w:type="pct"/>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$21.39</w:t>
            </w:r>
          </w:p>
        </w:tc>
        <w:tc>
          <w:tcPr>
            <w:tcW w:w="892" w:type="pct"/>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$25.62</w:t>
            </w:r>
          </w:p>
        </w:tc>
        <w:tc>
          <w:tcPr>
            <w:tcW w:w="788" w:type="pct"/>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$11.80</w:t>
            </w:r>
          </w:p>
        </w:tc>
      </w:tr>
      <w:tr w:rsidR="00D72A14" w:rsidRPr="00D335A5" w:rsidTr="00D72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rsidR="00D335A5" w:rsidRPr="00D335A5" w:rsidRDefault="00D335A5" w:rsidP="00D335A5">
            <w:pPr>
              <w:spacing w:after="200" w:line="480" w:lineRule="auto"/>
              <w:rPr>
                <w:rFonts w:ascii="Times New Roman" w:eastAsia="Times New Roman" w:hAnsi="Times New Roman" w:cs="Times New Roman"/>
                <w:sz w:val="24"/>
                <w:szCs w:val="24"/>
              </w:rPr>
            </w:pPr>
            <w:r w:rsidRPr="00D335A5">
              <w:rPr>
                <w:rFonts w:ascii="Times New Roman" w:eastAsia="Times New Roman" w:hAnsi="Times New Roman" w:cs="Times New Roman"/>
                <w:sz w:val="24"/>
                <w:szCs w:val="24"/>
              </w:rPr>
              <w:t> </w:t>
            </w:r>
            <w:hyperlink r:id="rId14" w:tooltip="The percentage of housing units which are owned by the occupant.  A housing unit is a house, apartment, mobile home, or room occupied as separate living quarters. Updated:12/16" w:history="1">
              <w:r w:rsidRPr="00D335A5">
                <w:rPr>
                  <w:rFonts w:ascii="Times New Roman" w:eastAsia="Times New Roman" w:hAnsi="Times New Roman" w:cs="Times New Roman"/>
                  <w:sz w:val="24"/>
                  <w:szCs w:val="24"/>
                  <w:u w:val="single"/>
                </w:rPr>
                <w:t>Homes Owned</w:t>
              </w:r>
            </w:hyperlink>
          </w:p>
        </w:tc>
        <w:tc>
          <w:tcPr>
            <w:tcW w:w="845" w:type="pct"/>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49.32%</w:t>
            </w:r>
          </w:p>
        </w:tc>
        <w:tc>
          <w:tcPr>
            <w:tcW w:w="679" w:type="pct"/>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38.58%</w:t>
            </w:r>
          </w:p>
        </w:tc>
        <w:tc>
          <w:tcPr>
            <w:tcW w:w="892" w:type="pct"/>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38.39%</w:t>
            </w:r>
          </w:p>
        </w:tc>
        <w:tc>
          <w:tcPr>
            <w:tcW w:w="788" w:type="pct"/>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56.34%</w:t>
            </w:r>
          </w:p>
        </w:tc>
      </w:tr>
      <w:tr w:rsidR="00D72A14" w:rsidRPr="00D335A5" w:rsidTr="00D72A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rsidR="00D335A5" w:rsidRPr="00D335A5" w:rsidRDefault="00D335A5" w:rsidP="00D335A5">
            <w:pPr>
              <w:spacing w:after="200" w:line="480" w:lineRule="auto"/>
              <w:rPr>
                <w:rFonts w:ascii="Times New Roman" w:eastAsia="Times New Roman" w:hAnsi="Times New Roman" w:cs="Times New Roman"/>
                <w:sz w:val="24"/>
                <w:szCs w:val="24"/>
              </w:rPr>
            </w:pPr>
            <w:r w:rsidRPr="00D335A5">
              <w:rPr>
                <w:rFonts w:ascii="Times New Roman" w:eastAsia="Times New Roman" w:hAnsi="Times New Roman" w:cs="Times New Roman"/>
                <w:sz w:val="24"/>
                <w:szCs w:val="24"/>
              </w:rPr>
              <w:t> </w:t>
            </w:r>
            <w:hyperlink r:id="rId15" w:tooltip="The percentage of housing units which are vacant (unoccupied).  A housing unit is a house, apartment, mobile home, or room occupied as separate living quarters. Updated:12/16" w:history="1">
              <w:r w:rsidRPr="00D335A5">
                <w:rPr>
                  <w:rFonts w:ascii="Times New Roman" w:eastAsia="Times New Roman" w:hAnsi="Times New Roman" w:cs="Times New Roman"/>
                  <w:sz w:val="24"/>
                  <w:szCs w:val="24"/>
                  <w:u w:val="single"/>
                </w:rPr>
                <w:t>Housing Vacant</w:t>
              </w:r>
            </w:hyperlink>
          </w:p>
        </w:tc>
        <w:tc>
          <w:tcPr>
            <w:tcW w:w="845" w:type="pct"/>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11.90%</w:t>
            </w:r>
          </w:p>
        </w:tc>
        <w:tc>
          <w:tcPr>
            <w:tcW w:w="679" w:type="pct"/>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13.62%</w:t>
            </w:r>
          </w:p>
        </w:tc>
        <w:tc>
          <w:tcPr>
            <w:tcW w:w="892" w:type="pct"/>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10.77%</w:t>
            </w:r>
          </w:p>
        </w:tc>
        <w:tc>
          <w:tcPr>
            <w:tcW w:w="788" w:type="pct"/>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12.45%</w:t>
            </w:r>
          </w:p>
        </w:tc>
      </w:tr>
      <w:tr w:rsidR="00D72A14" w:rsidRPr="00D335A5" w:rsidTr="00D72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hideMark/>
          </w:tcPr>
          <w:p w:rsidR="00D335A5" w:rsidRPr="00D335A5" w:rsidRDefault="00D335A5" w:rsidP="00D335A5">
            <w:pPr>
              <w:spacing w:after="200" w:line="480" w:lineRule="auto"/>
              <w:rPr>
                <w:rFonts w:ascii="Times New Roman" w:eastAsia="Times New Roman" w:hAnsi="Times New Roman" w:cs="Times New Roman"/>
                <w:sz w:val="24"/>
                <w:szCs w:val="24"/>
              </w:rPr>
            </w:pPr>
            <w:r w:rsidRPr="00D335A5">
              <w:rPr>
                <w:rFonts w:ascii="Times New Roman" w:eastAsia="Times New Roman" w:hAnsi="Times New Roman" w:cs="Times New Roman"/>
                <w:sz w:val="24"/>
                <w:szCs w:val="24"/>
              </w:rPr>
              <w:t> </w:t>
            </w:r>
            <w:hyperlink r:id="rId16" w:tooltip="The percentage of housing units which are rented by the occupant.  A housing unit is a house, apartment, mobile home, or room occupied as separate living quarters. Updated:12/16" w:history="1">
              <w:r w:rsidRPr="00D335A5">
                <w:rPr>
                  <w:rFonts w:ascii="Times New Roman" w:eastAsia="Times New Roman" w:hAnsi="Times New Roman" w:cs="Times New Roman"/>
                  <w:sz w:val="24"/>
                  <w:szCs w:val="24"/>
                  <w:u w:val="single"/>
                </w:rPr>
                <w:t>Homes Rented</w:t>
              </w:r>
            </w:hyperlink>
          </w:p>
        </w:tc>
        <w:tc>
          <w:tcPr>
            <w:tcW w:w="845" w:type="pct"/>
            <w:hideMark/>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38.78%</w:t>
            </w:r>
          </w:p>
        </w:tc>
        <w:tc>
          <w:tcPr>
            <w:tcW w:w="679" w:type="pct"/>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47.81%</w:t>
            </w:r>
          </w:p>
        </w:tc>
        <w:tc>
          <w:tcPr>
            <w:tcW w:w="892" w:type="pct"/>
            <w:hideMark/>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50.84%</w:t>
            </w:r>
          </w:p>
        </w:tc>
        <w:tc>
          <w:tcPr>
            <w:tcW w:w="788" w:type="pct"/>
            <w:hideMark/>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31.21%</w:t>
            </w:r>
          </w:p>
        </w:tc>
      </w:tr>
      <w:tr w:rsidR="00D335A5" w:rsidRPr="00D335A5" w:rsidTr="00D72A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rsidR="00D335A5" w:rsidRPr="00D335A5" w:rsidRDefault="00D335A5" w:rsidP="00D335A5">
            <w:pPr>
              <w:spacing w:after="200" w:line="480" w:lineRule="auto"/>
              <w:jc w:val="center"/>
              <w:rPr>
                <w:rFonts w:ascii="Times New Roman" w:eastAsia="Times New Roman" w:hAnsi="Times New Roman" w:cs="Times New Roman"/>
                <w:color w:val="000000"/>
                <w:sz w:val="24"/>
                <w:szCs w:val="24"/>
              </w:rPr>
            </w:pPr>
          </w:p>
        </w:tc>
      </w:tr>
      <w:tr w:rsidR="00D335A5" w:rsidRPr="00D335A5" w:rsidTr="00D72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rsidR="00D335A5" w:rsidRPr="00D335A5" w:rsidRDefault="00D335A5" w:rsidP="00D335A5">
            <w:pPr>
              <w:spacing w:after="200" w:line="480" w:lineRule="auto"/>
              <w:jc w:val="center"/>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AVERAGE RENTS</w:t>
            </w:r>
          </w:p>
        </w:tc>
      </w:tr>
      <w:tr w:rsidR="00D72A14" w:rsidRPr="00D335A5" w:rsidTr="00D72A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hideMark/>
          </w:tcPr>
          <w:p w:rsidR="00D335A5" w:rsidRPr="00D335A5" w:rsidRDefault="00D335A5" w:rsidP="00D335A5">
            <w:pPr>
              <w:spacing w:after="200" w:line="480" w:lineRule="auto"/>
              <w:rPr>
                <w:rFonts w:ascii="Times New Roman" w:eastAsia="Times New Roman" w:hAnsi="Times New Roman" w:cs="Times New Roman"/>
                <w:color w:val="FFFFFF"/>
                <w:sz w:val="24"/>
                <w:szCs w:val="24"/>
              </w:rPr>
            </w:pPr>
            <w:r w:rsidRPr="00D335A5">
              <w:rPr>
                <w:rFonts w:ascii="Times New Roman" w:eastAsia="Times New Roman" w:hAnsi="Times New Roman" w:cs="Times New Roman"/>
                <w:color w:val="FFFFFF"/>
                <w:sz w:val="24"/>
                <w:szCs w:val="24"/>
              </w:rPr>
              <w:t> </w:t>
            </w:r>
          </w:p>
        </w:tc>
        <w:tc>
          <w:tcPr>
            <w:tcW w:w="845" w:type="pct"/>
            <w:hideMark/>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D335A5">
              <w:rPr>
                <w:rFonts w:ascii="Times New Roman" w:eastAsia="Times New Roman" w:hAnsi="Times New Roman" w:cs="Times New Roman"/>
                <w:sz w:val="24"/>
                <w:szCs w:val="24"/>
              </w:rPr>
              <w:t>Racine</w:t>
            </w:r>
          </w:p>
        </w:tc>
        <w:tc>
          <w:tcPr>
            <w:tcW w:w="679" w:type="pct"/>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D335A5">
              <w:rPr>
                <w:rFonts w:ascii="Times New Roman" w:eastAsia="Times New Roman" w:hAnsi="Times New Roman" w:cs="Times New Roman"/>
                <w:sz w:val="24"/>
                <w:szCs w:val="24"/>
              </w:rPr>
              <w:t>Chicago</w:t>
            </w:r>
          </w:p>
        </w:tc>
        <w:tc>
          <w:tcPr>
            <w:tcW w:w="892" w:type="pct"/>
            <w:hideMark/>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D335A5">
              <w:rPr>
                <w:rFonts w:ascii="Times New Roman" w:eastAsia="Times New Roman" w:hAnsi="Times New Roman" w:cs="Times New Roman"/>
                <w:sz w:val="24"/>
                <w:szCs w:val="24"/>
              </w:rPr>
              <w:t>Milwaukee</w:t>
            </w:r>
          </w:p>
        </w:tc>
        <w:tc>
          <w:tcPr>
            <w:tcW w:w="788" w:type="pct"/>
            <w:hideMark/>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D335A5">
              <w:rPr>
                <w:rFonts w:ascii="Times New Roman" w:eastAsia="Times New Roman" w:hAnsi="Times New Roman" w:cs="Times New Roman"/>
                <w:sz w:val="24"/>
                <w:szCs w:val="24"/>
              </w:rPr>
              <w:t>United States</w:t>
            </w:r>
          </w:p>
        </w:tc>
      </w:tr>
      <w:tr w:rsidR="00D72A14" w:rsidRPr="00D335A5" w:rsidTr="00D72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hideMark/>
          </w:tcPr>
          <w:p w:rsidR="00D335A5" w:rsidRPr="00D335A5" w:rsidRDefault="00D335A5" w:rsidP="00D335A5">
            <w:pPr>
              <w:spacing w:after="200" w:line="480" w:lineRule="auto"/>
              <w:rPr>
                <w:rFonts w:ascii="Times New Roman" w:eastAsia="Times New Roman" w:hAnsi="Times New Roman" w:cs="Times New Roman"/>
                <w:sz w:val="24"/>
                <w:szCs w:val="24"/>
              </w:rPr>
            </w:pPr>
            <w:r w:rsidRPr="00D335A5">
              <w:rPr>
                <w:rFonts w:ascii="Times New Roman" w:eastAsia="Times New Roman" w:hAnsi="Times New Roman" w:cs="Times New Roman"/>
                <w:sz w:val="24"/>
                <w:szCs w:val="24"/>
              </w:rPr>
              <w:t> </w:t>
            </w:r>
            <w:hyperlink r:id="rId17" w:tooltip="Average rent for studio apartment&#10; Updated:12/16" w:history="1">
              <w:r w:rsidRPr="00D335A5">
                <w:rPr>
                  <w:rFonts w:ascii="Times New Roman" w:eastAsia="Times New Roman" w:hAnsi="Times New Roman" w:cs="Times New Roman"/>
                  <w:sz w:val="24"/>
                  <w:szCs w:val="24"/>
                  <w:u w:val="single"/>
                </w:rPr>
                <w:t>Studio Apartment</w:t>
              </w:r>
            </w:hyperlink>
          </w:p>
        </w:tc>
        <w:tc>
          <w:tcPr>
            <w:tcW w:w="845" w:type="pct"/>
            <w:hideMark/>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FFFF"/>
                <w:sz w:val="24"/>
                <w:szCs w:val="24"/>
              </w:rPr>
            </w:pPr>
            <w:r w:rsidRPr="00D335A5">
              <w:rPr>
                <w:rFonts w:ascii="Times New Roman" w:eastAsia="Times New Roman" w:hAnsi="Times New Roman" w:cs="Times New Roman"/>
                <w:color w:val="000000"/>
                <w:sz w:val="24"/>
                <w:szCs w:val="24"/>
              </w:rPr>
              <w:t>$610</w:t>
            </w:r>
          </w:p>
        </w:tc>
        <w:tc>
          <w:tcPr>
            <w:tcW w:w="679" w:type="pct"/>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FFFF"/>
                <w:sz w:val="24"/>
                <w:szCs w:val="24"/>
              </w:rPr>
            </w:pPr>
            <w:r w:rsidRPr="00D335A5">
              <w:rPr>
                <w:rFonts w:ascii="Times New Roman" w:eastAsia="Times New Roman" w:hAnsi="Times New Roman" w:cs="Times New Roman"/>
                <w:color w:val="000000"/>
                <w:sz w:val="24"/>
                <w:szCs w:val="24"/>
              </w:rPr>
              <w:t>$850</w:t>
            </w:r>
          </w:p>
        </w:tc>
        <w:tc>
          <w:tcPr>
            <w:tcW w:w="892" w:type="pct"/>
            <w:hideMark/>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FFFF"/>
                <w:sz w:val="24"/>
                <w:szCs w:val="24"/>
              </w:rPr>
            </w:pPr>
            <w:r w:rsidRPr="00D335A5">
              <w:rPr>
                <w:rFonts w:ascii="Times New Roman" w:eastAsia="Times New Roman" w:hAnsi="Times New Roman" w:cs="Times New Roman"/>
                <w:color w:val="000000"/>
                <w:sz w:val="24"/>
                <w:szCs w:val="24"/>
              </w:rPr>
              <w:t>$551</w:t>
            </w:r>
          </w:p>
        </w:tc>
        <w:tc>
          <w:tcPr>
            <w:tcW w:w="788" w:type="pct"/>
            <w:hideMark/>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FFFF"/>
                <w:sz w:val="24"/>
                <w:szCs w:val="24"/>
              </w:rPr>
            </w:pPr>
            <w:r w:rsidRPr="00D335A5">
              <w:rPr>
                <w:rFonts w:ascii="Times New Roman" w:eastAsia="Times New Roman" w:hAnsi="Times New Roman" w:cs="Times New Roman"/>
                <w:color w:val="000000"/>
                <w:sz w:val="24"/>
                <w:szCs w:val="24"/>
              </w:rPr>
              <w:t>$712</w:t>
            </w:r>
          </w:p>
        </w:tc>
      </w:tr>
      <w:tr w:rsidR="00D72A14" w:rsidRPr="00D335A5" w:rsidTr="00D72A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hideMark/>
          </w:tcPr>
          <w:p w:rsidR="00D335A5" w:rsidRPr="00D335A5" w:rsidRDefault="00D335A5" w:rsidP="00D335A5">
            <w:pPr>
              <w:tabs>
                <w:tab w:val="left" w:pos="3690"/>
              </w:tabs>
              <w:spacing w:after="200" w:line="480" w:lineRule="auto"/>
              <w:rPr>
                <w:rFonts w:ascii="Times New Roman" w:eastAsia="Times New Roman" w:hAnsi="Times New Roman" w:cs="Times New Roman"/>
                <w:sz w:val="24"/>
                <w:szCs w:val="24"/>
              </w:rPr>
            </w:pPr>
            <w:r w:rsidRPr="00D335A5">
              <w:rPr>
                <w:rFonts w:ascii="Times New Roman" w:eastAsia="Times New Roman" w:hAnsi="Times New Roman" w:cs="Times New Roman"/>
                <w:sz w:val="24"/>
                <w:szCs w:val="24"/>
              </w:rPr>
              <w:t> </w:t>
            </w:r>
            <w:hyperlink r:id="rId18" w:tooltip="Average rent for 1-bedroom home or apartment&#10; Updated:12/16" w:history="1">
              <w:r w:rsidRPr="00D335A5">
                <w:rPr>
                  <w:rFonts w:ascii="Times New Roman" w:eastAsia="Times New Roman" w:hAnsi="Times New Roman" w:cs="Times New Roman"/>
                  <w:sz w:val="24"/>
                  <w:szCs w:val="24"/>
                  <w:u w:val="single"/>
                </w:rPr>
                <w:t xml:space="preserve">1 Bedroom </w:t>
              </w:r>
            </w:hyperlink>
          </w:p>
        </w:tc>
        <w:tc>
          <w:tcPr>
            <w:tcW w:w="845" w:type="pct"/>
            <w:hideMark/>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FFFFFF"/>
                <w:sz w:val="24"/>
                <w:szCs w:val="24"/>
              </w:rPr>
            </w:pPr>
            <w:r w:rsidRPr="00D335A5">
              <w:rPr>
                <w:rFonts w:ascii="Times New Roman" w:eastAsia="Times New Roman" w:hAnsi="Times New Roman" w:cs="Times New Roman"/>
                <w:color w:val="000000"/>
                <w:sz w:val="24"/>
                <w:szCs w:val="24"/>
              </w:rPr>
              <w:t>$660</w:t>
            </w:r>
          </w:p>
        </w:tc>
        <w:tc>
          <w:tcPr>
            <w:tcW w:w="679" w:type="pct"/>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FFFFFF"/>
                <w:sz w:val="24"/>
                <w:szCs w:val="24"/>
              </w:rPr>
            </w:pPr>
            <w:r w:rsidRPr="00D335A5">
              <w:rPr>
                <w:rFonts w:ascii="Times New Roman" w:eastAsia="Times New Roman" w:hAnsi="Times New Roman" w:cs="Times New Roman"/>
                <w:color w:val="000000"/>
                <w:sz w:val="24"/>
                <w:szCs w:val="24"/>
              </w:rPr>
              <w:t>$979</w:t>
            </w:r>
          </w:p>
        </w:tc>
        <w:tc>
          <w:tcPr>
            <w:tcW w:w="892" w:type="pct"/>
            <w:hideMark/>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FFFFFF"/>
                <w:sz w:val="24"/>
                <w:szCs w:val="24"/>
              </w:rPr>
            </w:pPr>
            <w:r w:rsidRPr="00D335A5">
              <w:rPr>
                <w:rFonts w:ascii="Times New Roman" w:eastAsia="Times New Roman" w:hAnsi="Times New Roman" w:cs="Times New Roman"/>
                <w:color w:val="000000"/>
                <w:sz w:val="24"/>
                <w:szCs w:val="24"/>
              </w:rPr>
              <w:t>$672</w:t>
            </w:r>
          </w:p>
        </w:tc>
        <w:tc>
          <w:tcPr>
            <w:tcW w:w="788" w:type="pct"/>
            <w:hideMark/>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FFFFFF"/>
                <w:sz w:val="24"/>
                <w:szCs w:val="24"/>
              </w:rPr>
            </w:pPr>
            <w:r w:rsidRPr="00D335A5">
              <w:rPr>
                <w:rFonts w:ascii="Times New Roman" w:eastAsia="Times New Roman" w:hAnsi="Times New Roman" w:cs="Times New Roman"/>
                <w:color w:val="000000"/>
                <w:sz w:val="24"/>
                <w:szCs w:val="24"/>
              </w:rPr>
              <w:t>$825</w:t>
            </w:r>
          </w:p>
        </w:tc>
      </w:tr>
      <w:tr w:rsidR="00D72A14" w:rsidRPr="00D335A5" w:rsidTr="00D72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hideMark/>
          </w:tcPr>
          <w:p w:rsidR="00D335A5" w:rsidRPr="00D335A5" w:rsidRDefault="00D335A5" w:rsidP="00D335A5">
            <w:pPr>
              <w:spacing w:after="200" w:line="480" w:lineRule="auto"/>
              <w:rPr>
                <w:rFonts w:ascii="Times New Roman" w:eastAsia="Times New Roman" w:hAnsi="Times New Roman" w:cs="Times New Roman"/>
                <w:sz w:val="24"/>
                <w:szCs w:val="24"/>
              </w:rPr>
            </w:pPr>
            <w:r w:rsidRPr="00D335A5">
              <w:rPr>
                <w:rFonts w:ascii="Times New Roman" w:eastAsia="Times New Roman" w:hAnsi="Times New Roman" w:cs="Times New Roman"/>
                <w:sz w:val="24"/>
                <w:szCs w:val="24"/>
              </w:rPr>
              <w:t> </w:t>
            </w:r>
            <w:hyperlink r:id="rId19" w:tooltip="Average rent for 2-bedroom home or apartment&#10; Updated:12/16" w:history="1">
              <w:r w:rsidRPr="00D335A5">
                <w:rPr>
                  <w:rFonts w:ascii="Times New Roman" w:eastAsia="Times New Roman" w:hAnsi="Times New Roman" w:cs="Times New Roman"/>
                  <w:sz w:val="24"/>
                  <w:szCs w:val="24"/>
                  <w:u w:val="single"/>
                </w:rPr>
                <w:t xml:space="preserve">2 Bedroom </w:t>
              </w:r>
            </w:hyperlink>
          </w:p>
        </w:tc>
        <w:tc>
          <w:tcPr>
            <w:tcW w:w="845" w:type="pct"/>
            <w:hideMark/>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FFFF"/>
                <w:sz w:val="24"/>
                <w:szCs w:val="24"/>
              </w:rPr>
            </w:pPr>
            <w:r w:rsidRPr="00D335A5">
              <w:rPr>
                <w:rFonts w:ascii="Times New Roman" w:eastAsia="Times New Roman" w:hAnsi="Times New Roman" w:cs="Times New Roman"/>
                <w:color w:val="000000"/>
                <w:sz w:val="24"/>
                <w:szCs w:val="24"/>
              </w:rPr>
              <w:t>$855</w:t>
            </w:r>
          </w:p>
        </w:tc>
        <w:tc>
          <w:tcPr>
            <w:tcW w:w="679" w:type="pct"/>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FFFF"/>
                <w:sz w:val="24"/>
                <w:szCs w:val="24"/>
              </w:rPr>
            </w:pPr>
            <w:r w:rsidRPr="00D335A5">
              <w:rPr>
                <w:rFonts w:ascii="Times New Roman" w:eastAsia="Times New Roman" w:hAnsi="Times New Roman" w:cs="Times New Roman"/>
                <w:color w:val="000000"/>
                <w:sz w:val="24"/>
                <w:szCs w:val="24"/>
              </w:rPr>
              <w:t>$1,139</w:t>
            </w:r>
          </w:p>
        </w:tc>
        <w:tc>
          <w:tcPr>
            <w:tcW w:w="892" w:type="pct"/>
            <w:hideMark/>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FFFF"/>
                <w:sz w:val="24"/>
                <w:szCs w:val="24"/>
              </w:rPr>
            </w:pPr>
            <w:r w:rsidRPr="00D335A5">
              <w:rPr>
                <w:rFonts w:ascii="Times New Roman" w:eastAsia="Times New Roman" w:hAnsi="Times New Roman" w:cs="Times New Roman"/>
                <w:color w:val="000000"/>
                <w:sz w:val="24"/>
                <w:szCs w:val="24"/>
              </w:rPr>
              <w:t>$833</w:t>
            </w:r>
          </w:p>
        </w:tc>
        <w:tc>
          <w:tcPr>
            <w:tcW w:w="788" w:type="pct"/>
            <w:hideMark/>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FFFF"/>
                <w:sz w:val="24"/>
                <w:szCs w:val="24"/>
              </w:rPr>
            </w:pPr>
            <w:r w:rsidRPr="00D335A5">
              <w:rPr>
                <w:rFonts w:ascii="Times New Roman" w:eastAsia="Times New Roman" w:hAnsi="Times New Roman" w:cs="Times New Roman"/>
                <w:color w:val="000000"/>
                <w:sz w:val="24"/>
                <w:szCs w:val="24"/>
              </w:rPr>
              <w:t>$1,027</w:t>
            </w:r>
          </w:p>
        </w:tc>
      </w:tr>
      <w:tr w:rsidR="00D72A14" w:rsidRPr="00D335A5" w:rsidTr="00D72A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hideMark/>
          </w:tcPr>
          <w:p w:rsidR="00D335A5" w:rsidRPr="00D335A5" w:rsidRDefault="00D335A5" w:rsidP="00D335A5">
            <w:pPr>
              <w:spacing w:after="200" w:line="480" w:lineRule="auto"/>
              <w:rPr>
                <w:rFonts w:ascii="Times New Roman" w:eastAsia="Times New Roman" w:hAnsi="Times New Roman" w:cs="Times New Roman"/>
                <w:sz w:val="24"/>
                <w:szCs w:val="24"/>
              </w:rPr>
            </w:pPr>
            <w:r w:rsidRPr="00D335A5">
              <w:rPr>
                <w:rFonts w:ascii="Times New Roman" w:eastAsia="Times New Roman" w:hAnsi="Times New Roman" w:cs="Times New Roman"/>
                <w:sz w:val="24"/>
                <w:szCs w:val="24"/>
              </w:rPr>
              <w:t> </w:t>
            </w:r>
            <w:hyperlink r:id="rId20" w:tooltip="Average rent for 3-bedroom home or apartment&#10; Updated:12/16" w:history="1">
              <w:r w:rsidRPr="00D335A5">
                <w:rPr>
                  <w:rFonts w:ascii="Times New Roman" w:eastAsia="Times New Roman" w:hAnsi="Times New Roman" w:cs="Times New Roman"/>
                  <w:sz w:val="24"/>
                  <w:szCs w:val="24"/>
                  <w:u w:val="single"/>
                </w:rPr>
                <w:t xml:space="preserve">3 Bedroom </w:t>
              </w:r>
            </w:hyperlink>
          </w:p>
        </w:tc>
        <w:tc>
          <w:tcPr>
            <w:tcW w:w="845" w:type="pct"/>
            <w:hideMark/>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$1,145</w:t>
            </w:r>
          </w:p>
        </w:tc>
        <w:tc>
          <w:tcPr>
            <w:tcW w:w="679" w:type="pct"/>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$1,453</w:t>
            </w:r>
          </w:p>
        </w:tc>
        <w:tc>
          <w:tcPr>
            <w:tcW w:w="892" w:type="pct"/>
            <w:hideMark/>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$1,048</w:t>
            </w:r>
          </w:p>
        </w:tc>
        <w:tc>
          <w:tcPr>
            <w:tcW w:w="788" w:type="pct"/>
            <w:hideMark/>
          </w:tcPr>
          <w:p w:rsidR="00D335A5" w:rsidRPr="00D335A5" w:rsidRDefault="00D335A5" w:rsidP="00D335A5">
            <w:pPr>
              <w:spacing w:after="200"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$1,379</w:t>
            </w:r>
          </w:p>
        </w:tc>
      </w:tr>
      <w:tr w:rsidR="00D72A14" w:rsidRPr="00D335A5" w:rsidTr="00D72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hideMark/>
          </w:tcPr>
          <w:p w:rsidR="00D335A5" w:rsidRPr="00D335A5" w:rsidRDefault="00D335A5" w:rsidP="00D335A5">
            <w:pPr>
              <w:spacing w:after="200" w:line="480" w:lineRule="auto"/>
              <w:rPr>
                <w:rFonts w:ascii="Times New Roman" w:eastAsia="Times New Roman" w:hAnsi="Times New Roman" w:cs="Times New Roman"/>
                <w:sz w:val="24"/>
                <w:szCs w:val="24"/>
              </w:rPr>
            </w:pPr>
            <w:r w:rsidRPr="00D335A5">
              <w:rPr>
                <w:rFonts w:ascii="Times New Roman" w:eastAsia="Times New Roman" w:hAnsi="Times New Roman" w:cs="Times New Roman"/>
                <w:sz w:val="24"/>
                <w:szCs w:val="24"/>
              </w:rPr>
              <w:t> </w:t>
            </w:r>
            <w:hyperlink r:id="rId21" w:tooltip="Average rent for 4-bedroom home or apartment&#10; Updated:12/16" w:history="1">
              <w:r w:rsidRPr="00D335A5">
                <w:rPr>
                  <w:rFonts w:ascii="Times New Roman" w:eastAsia="Times New Roman" w:hAnsi="Times New Roman" w:cs="Times New Roman"/>
                  <w:sz w:val="24"/>
                  <w:szCs w:val="24"/>
                  <w:u w:val="single"/>
                </w:rPr>
                <w:t xml:space="preserve">4 Bedroom </w:t>
              </w:r>
            </w:hyperlink>
          </w:p>
        </w:tc>
        <w:tc>
          <w:tcPr>
            <w:tcW w:w="845" w:type="pct"/>
            <w:hideMark/>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$1,200</w:t>
            </w:r>
          </w:p>
        </w:tc>
        <w:tc>
          <w:tcPr>
            <w:tcW w:w="679" w:type="pct"/>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$1,711</w:t>
            </w:r>
          </w:p>
        </w:tc>
        <w:tc>
          <w:tcPr>
            <w:tcW w:w="892" w:type="pct"/>
            <w:hideMark/>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$1,197</w:t>
            </w:r>
          </w:p>
        </w:tc>
        <w:tc>
          <w:tcPr>
            <w:tcW w:w="788" w:type="pct"/>
            <w:hideMark/>
          </w:tcPr>
          <w:p w:rsidR="00D335A5" w:rsidRPr="00D335A5" w:rsidRDefault="00D335A5" w:rsidP="00D335A5">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35A5">
              <w:rPr>
                <w:rFonts w:ascii="Times New Roman" w:eastAsia="Times New Roman" w:hAnsi="Times New Roman" w:cs="Times New Roman"/>
                <w:color w:val="000000"/>
                <w:sz w:val="24"/>
                <w:szCs w:val="24"/>
              </w:rPr>
              <w:t>$1,601</w:t>
            </w:r>
          </w:p>
        </w:tc>
      </w:tr>
    </w:tbl>
    <w:p w:rsidR="00D335A5" w:rsidRPr="00D335A5" w:rsidRDefault="00D335A5" w:rsidP="00D335A5">
      <w:pPr>
        <w:spacing w:after="200" w:line="276" w:lineRule="auto"/>
        <w:rPr>
          <w:rFonts w:ascii="Calibri" w:eastAsia="Calibri" w:hAnsi="Calibri" w:cs="Times New Roman"/>
          <w:b/>
          <w:i/>
        </w:rPr>
      </w:pPr>
      <w:r w:rsidRPr="00D335A5">
        <w:rPr>
          <w:rFonts w:ascii="Calibri" w:eastAsia="Calibri" w:hAnsi="Calibri" w:cs="Times New Roman"/>
          <w:b/>
          <w:i/>
        </w:rPr>
        <w:t>Source:  Sperling's Best Places, 2016</w:t>
      </w:r>
    </w:p>
    <w:p w:rsidR="00584A4F" w:rsidRDefault="00584A4F"/>
    <w:sectPr w:rsidR="00584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A5"/>
    <w:rsid w:val="00584A4F"/>
    <w:rsid w:val="00630427"/>
    <w:rsid w:val="00D335A5"/>
    <w:rsid w:val="00D7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AA05C-A9E2-4716-8A85-B4F6474A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Accent21">
    <w:name w:val="Medium Shading 1 - Accent 21"/>
    <w:basedOn w:val="TableNormal"/>
    <w:next w:val="MediumShading1-Accent2"/>
    <w:uiPriority w:val="63"/>
    <w:rsid w:val="00D335A5"/>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D335A5"/>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335A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335A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lert(%22The%20average%20cost%20of%20heating%20or%20cooling%20a%20typical%20residence%20for%20the%20area,%20including%20electricity%20and%20natural%20gas.%20Updated:12/16%22);" TargetMode="External"/><Relationship Id="rId13" Type="http://schemas.openxmlformats.org/officeDocument/2006/relationships/hyperlink" Target="javascript:alert(%22The%20property%20tax%20rate%20shown%20here%20is%20the%20rate%20per%20$1,000%20of%20home%20value.%20If%20the%20tax%20rate%20is%20$14.00%20and%20the%20home%20value%20is%20$250,000,%20the%20property%20tax%20would%20be%20$14.00%20x%20($250,000/1000),%20or%20$3500.%20This%20is%20the%20'effective'%20tax%20rate.%20Updated:12/16%22);" TargetMode="External"/><Relationship Id="rId18" Type="http://schemas.openxmlformats.org/officeDocument/2006/relationships/hyperlink" Target="javascript:alert(%22Average%20rent%20for%201-bedroom%20home%20or%20apartment%20Updated:12/16%22);" TargetMode="External"/><Relationship Id="rId3" Type="http://schemas.openxmlformats.org/officeDocument/2006/relationships/webSettings" Target="webSettings.xml"/><Relationship Id="rId21" Type="http://schemas.openxmlformats.org/officeDocument/2006/relationships/hyperlink" Target="javascript:alert(%22Average%20rent%20for%204-bedroom%20home%20or%20apartment%20Updated:12/16%22);" TargetMode="External"/><Relationship Id="rId7" Type="http://schemas.openxmlformats.org/officeDocument/2006/relationships/hyperlink" Target="javascript:alert(%22The%20average%20cost%20of%20an%20area's%20housing,%20which%20includes%20mortgage%20payments,%20apartment%20rents,%20and%20property%20tax.%20Updated:12/16%22);" TargetMode="External"/><Relationship Id="rId12" Type="http://schemas.openxmlformats.org/officeDocument/2006/relationships/hyperlink" Target="javascript:alert(%22This%20is%20the%20value%20of%20the%20years%20most%20recent%20home%20sales%20data.%20%20Its%20important%20to%20note%20that%20this%20is%20not%20the%20average%20(or%20arithmetic%20mean).%20The%20median%20home%20price%20is%20the%20middle%20value%20when%20you%20arrange%20all%20the%20sales%20prices%20of%20homes%20from%20lowest%20to%20highest.%20%20This%20is%20a%20better%20indicator%20than%20the%20average,%20because%20the%20median%20is%20not%20changed%20as%20much%20by%20a%20few%20unusually%20high%20or%20low%20values.%20Updated:12/16%22);" TargetMode="External"/><Relationship Id="rId17" Type="http://schemas.openxmlformats.org/officeDocument/2006/relationships/hyperlink" Target="javascript:alert(%22Average%20rent%20for%20studio%20apartment%20Updated:12/16%22);" TargetMode="External"/><Relationship Id="rId2" Type="http://schemas.openxmlformats.org/officeDocument/2006/relationships/settings" Target="settings.xml"/><Relationship Id="rId16" Type="http://schemas.openxmlformats.org/officeDocument/2006/relationships/hyperlink" Target="javascript:alert(%22The%20percentage%20of%20housing%20units%20which%20are%20rented%20by%20the%20occupant.%20%20A%20housing%20unit%20is%20a%20house,%20apartment,%20mobile%20home,%20or%20room%20occupied%20as%20separate%20living%20quarters.%20Updated:12/16%22);" TargetMode="External"/><Relationship Id="rId20" Type="http://schemas.openxmlformats.org/officeDocument/2006/relationships/hyperlink" Target="javascript:alert(%22Average%20rent%20for%203-bedroom%20home%20or%20apartment%20Updated:12/16%22);" TargetMode="External"/><Relationship Id="rId1" Type="http://schemas.openxmlformats.org/officeDocument/2006/relationships/styles" Target="styles.xml"/><Relationship Id="rId6" Type="http://schemas.openxmlformats.org/officeDocument/2006/relationships/hyperlink" Target="javascript:alert(%22The%20average%20cost%20of%20health%20care%20calculated%20using%20the%20standard%20daily%20rate%20for%20a%20hospital%20room,%20and%20the%20costs%20of%20a%20doctor's%20office%20visit%20and%20a%20dental%20checkup.%20Updated:12/16%22);" TargetMode="External"/><Relationship Id="rId11" Type="http://schemas.openxmlformats.org/officeDocument/2006/relationships/hyperlink" Target="javascript:alert(%22The%20average%20age%20of%20homes%20%20in%20years.%20Updated:12/16%22);" TargetMode="External"/><Relationship Id="rId5" Type="http://schemas.openxmlformats.org/officeDocument/2006/relationships/hyperlink" Target="javascript:alert(%22The%20average%20cost%20of%20food%20in%20Grocery%20stores%20in%20an%20area.%20Updated:12/16%22);" TargetMode="External"/><Relationship Id="rId15" Type="http://schemas.openxmlformats.org/officeDocument/2006/relationships/hyperlink" Target="javascript:alert(%22The%20percentage%20of%20housing%20units%20which%20are%20vacant%20(unoccupied).%20%20A%20housing%20unit%20is%20a%20house,%20apartment,%20mobile%20home,%20or%20room%20occupied%20as%20separate%20living%20quarters.%20Updated:12/16%22);" TargetMode="External"/><Relationship Id="rId23" Type="http://schemas.openxmlformats.org/officeDocument/2006/relationships/theme" Target="theme/theme1.xml"/><Relationship Id="rId10" Type="http://schemas.openxmlformats.org/officeDocument/2006/relationships/hyperlink" Target="javascript:alert(%22The%20cost%20index%20of%20those%20goods%20and%20services%20not%20included%20in%20the%20other%20cost%20of%20living%20categories,%20including%20clothing,%20restaurants,%20repairs,%20entertainment,%20and%20other%20services.%20Updated:12/16%22);" TargetMode="External"/><Relationship Id="rId19" Type="http://schemas.openxmlformats.org/officeDocument/2006/relationships/hyperlink" Target="javascript:alert(%22Average%20rent%20for%202-bedroom%20home%20or%20apartment%20Updated:12/16%22);" TargetMode="External"/><Relationship Id="rId4" Type="http://schemas.openxmlformats.org/officeDocument/2006/relationships/hyperlink" Target="javascript:alert(%22The%20total%20of%20all%20the%20cost%20of%20living%20categories%20weighted%20subjectively%20as%20follows:%20housing%20(30%25),%20food%20and%20groceries%20(15%25),%20transportation%20(10%25),%20utilities%20(6%25),%20health%20care%20(7%25),%20and%20miscellaneous%20expenses%20such%20as%20clothing,%20services,%20and%20entertainment%20(32%25).%20%20State%20and%20local%20taxes%20are%20not%20included%20in%20any%20category.%20Updated:12/16%22);" TargetMode="External"/><Relationship Id="rId9" Type="http://schemas.openxmlformats.org/officeDocument/2006/relationships/hyperlink" Target="javascript:alert(%22The%20average%20cost%20of%20gasoline,%20car%20insurance%20and%20maintenance%20expenses,%20and%20mass%20transit%20fare%20for%20the%20area.%20%20The%20cost%20of%20the%20vehicle%20and%20any%20vehicle%20registration%20and%20license%20taxes%20are%20not%20included.%20Updated:12/16%22);" TargetMode="External"/><Relationship Id="rId14" Type="http://schemas.openxmlformats.org/officeDocument/2006/relationships/hyperlink" Target="javascript:alert(%22The%20percentage%20of%20housing%20units%20which%20are%20owned%20by%20the%20occupant.%20%20A%20housing%20unit%20is%20a%20house,%20apartment,%20mobile%20home,%20or%20room%20occupied%20as%20separate%20living%20quarters.%20Updated:12/16%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Towne, Jeffrey</dc:creator>
  <cp:keywords/>
  <dc:description/>
  <cp:lastModifiedBy>Towne, Jeffrey</cp:lastModifiedBy>
  <cp:revision>2</cp:revision>
  <dcterms:created xsi:type="dcterms:W3CDTF">2017-09-26T19:36:00Z</dcterms:created>
  <dcterms:modified xsi:type="dcterms:W3CDTF">2017-09-26T19:57:00Z</dcterms:modified>
</cp:coreProperties>
</file>